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2C6283">
        <w:rPr>
          <w:rFonts w:asciiTheme="majorHAnsi" w:hAnsiTheme="majorHAnsi"/>
          <w:sz w:val="28"/>
          <w:szCs w:val="28"/>
        </w:rPr>
        <w:t xml:space="preserve">Con recursos del </w:t>
      </w:r>
      <w:r w:rsidRPr="002C6283">
        <w:rPr>
          <w:rFonts w:asciiTheme="majorHAnsi" w:hAnsiTheme="majorHAnsi"/>
          <w:b/>
          <w:sz w:val="28"/>
          <w:szCs w:val="28"/>
        </w:rPr>
        <w:t>Banco  Agrario de Colombia</w:t>
      </w:r>
      <w:r w:rsidRPr="002C6283">
        <w:rPr>
          <w:rFonts w:asciiTheme="majorHAnsi" w:hAnsiTheme="majorHAnsi"/>
          <w:sz w:val="28"/>
          <w:szCs w:val="28"/>
        </w:rPr>
        <w:t xml:space="preserve"> y el </w:t>
      </w:r>
      <w:r w:rsidRPr="002C6283">
        <w:rPr>
          <w:rFonts w:asciiTheme="majorHAnsi" w:hAnsiTheme="majorHAnsi"/>
          <w:b/>
          <w:sz w:val="28"/>
          <w:szCs w:val="28"/>
        </w:rPr>
        <w:t>Fondo Adaptación</w:t>
      </w:r>
      <w:r w:rsidRPr="002C6283">
        <w:rPr>
          <w:rFonts w:asciiTheme="majorHAnsi" w:hAnsiTheme="majorHAnsi"/>
          <w:sz w:val="28"/>
          <w:szCs w:val="28"/>
        </w:rPr>
        <w:t xml:space="preserve"> por más de 56 mil millones de pesos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INICIA RECONSTRUCCIÓN DE VIVIENDA RURAL EN BOLÍVAR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i/>
          <w:sz w:val="28"/>
          <w:szCs w:val="28"/>
        </w:rPr>
      </w:pPr>
      <w:r w:rsidRPr="002C6283">
        <w:rPr>
          <w:rFonts w:asciiTheme="majorHAnsi" w:hAnsiTheme="majorHAnsi"/>
          <w:i/>
          <w:sz w:val="28"/>
          <w:szCs w:val="28"/>
        </w:rPr>
        <w:t>Se beneficiarán 2.577 hogares bolivarenses que perdieron sus casas por las lluvias.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Cartagena de Indias.</w:t>
      </w:r>
      <w:r w:rsidRPr="002C6283">
        <w:rPr>
          <w:rFonts w:asciiTheme="majorHAnsi" w:hAnsiTheme="majorHAnsi"/>
          <w:sz w:val="28"/>
          <w:szCs w:val="28"/>
        </w:rPr>
        <w:t>-La reconstrucción de vivienda rural para la población afectada por el Fenómeno de la Niña 2010-2011 se iniciará con la presentación, este lunes 16 de abril, de las primeras viviendas palafíticas rurales en los municipios de Ancón (Mompóx) y San Rafael de Cortina (Magangué), departamento de Bolívar.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Estas soluciones forman parte de las 2.577 viviendas que se construirán en 74 corregimientos de 13 municipios de Bolívar, en el marco del proyecto desarrollado con recursos del </w:t>
      </w:r>
      <w:r w:rsidRPr="002C6283">
        <w:rPr>
          <w:rFonts w:asciiTheme="majorHAnsi" w:hAnsiTheme="majorHAnsi"/>
          <w:b/>
          <w:sz w:val="28"/>
          <w:szCs w:val="28"/>
        </w:rPr>
        <w:t>Banco Agrario</w:t>
      </w:r>
      <w:r w:rsidRPr="002C6283">
        <w:rPr>
          <w:rFonts w:asciiTheme="majorHAnsi" w:hAnsiTheme="majorHAnsi"/>
          <w:sz w:val="28"/>
          <w:szCs w:val="28"/>
        </w:rPr>
        <w:t xml:space="preserve"> y el </w:t>
      </w:r>
      <w:r w:rsidRPr="002C6283">
        <w:rPr>
          <w:rFonts w:asciiTheme="majorHAnsi" w:hAnsiTheme="majorHAnsi"/>
          <w:b/>
          <w:sz w:val="28"/>
          <w:szCs w:val="28"/>
        </w:rPr>
        <w:t>Fondo Adaptación</w:t>
      </w:r>
      <w:r w:rsidRPr="002C6283">
        <w:rPr>
          <w:rFonts w:asciiTheme="majorHAnsi" w:hAnsiTheme="majorHAnsi"/>
          <w:sz w:val="28"/>
          <w:szCs w:val="28"/>
        </w:rPr>
        <w:t xml:space="preserve">, que ascienden a $56.068.043.800,  el diseño y ejecución de la </w:t>
      </w:r>
      <w:r w:rsidRPr="002C6283">
        <w:rPr>
          <w:rFonts w:asciiTheme="majorHAnsi" w:hAnsiTheme="majorHAnsi"/>
          <w:b/>
          <w:sz w:val="28"/>
          <w:szCs w:val="28"/>
        </w:rPr>
        <w:t>Sociedad Colombiana de Arquitectos</w:t>
      </w:r>
      <w:r w:rsidRPr="002C6283">
        <w:rPr>
          <w:rFonts w:asciiTheme="majorHAnsi" w:hAnsiTheme="majorHAnsi"/>
          <w:sz w:val="28"/>
          <w:szCs w:val="28"/>
        </w:rPr>
        <w:t xml:space="preserve"> y el fuerte apoyo de la </w:t>
      </w:r>
      <w:r w:rsidRPr="002C6283">
        <w:rPr>
          <w:rFonts w:asciiTheme="majorHAnsi" w:hAnsiTheme="majorHAnsi"/>
          <w:b/>
          <w:sz w:val="28"/>
          <w:szCs w:val="28"/>
        </w:rPr>
        <w:t>gobernación de Bolívar</w:t>
      </w:r>
      <w:r w:rsidRPr="002C6283">
        <w:rPr>
          <w:rFonts w:asciiTheme="majorHAnsi" w:hAnsiTheme="majorHAnsi"/>
          <w:sz w:val="28"/>
          <w:szCs w:val="28"/>
        </w:rPr>
        <w:t>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Al evento asistirán  el ministro de Agricultura y Desarrollo Rural,  Juan Camilo Restrepo Salazar; el Presidente del Banco Agrario de Colombia, Francisco Estupiñán Heredia; la Subgerente de Regiones del Fondo Adaptación, Carmen Arévalo; el Gobernador de Bolívar, Juan  Carlos Gossaín, y los alcaldes municipales.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Cómo se desarrolló el proceso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El camino se inició con el concurso nacional de anteproyecto arquitectónico “Vivienda Sostenible, soluciones reales”,  que tenía como objetivo escoger el diseño de vivienda rural adaptable para el departamento de Bolívar.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Luego, los aportes provenientes del </w:t>
      </w:r>
      <w:r w:rsidRPr="002C6283">
        <w:rPr>
          <w:rFonts w:asciiTheme="majorHAnsi" w:hAnsiTheme="majorHAnsi"/>
          <w:b/>
          <w:sz w:val="28"/>
          <w:szCs w:val="28"/>
        </w:rPr>
        <w:t>Ministerio de Agricultura</w:t>
      </w:r>
      <w:r w:rsidRPr="002C6283">
        <w:rPr>
          <w:rFonts w:asciiTheme="majorHAnsi" w:hAnsiTheme="majorHAnsi"/>
          <w:sz w:val="28"/>
          <w:szCs w:val="28"/>
        </w:rPr>
        <w:t xml:space="preserve"> a través de un convenio firmado por la </w:t>
      </w:r>
      <w:r w:rsidRPr="002C6283">
        <w:rPr>
          <w:rFonts w:asciiTheme="majorHAnsi" w:hAnsiTheme="majorHAnsi"/>
          <w:b/>
          <w:sz w:val="28"/>
          <w:szCs w:val="28"/>
        </w:rPr>
        <w:t>Gobernación de Bolívar</w:t>
      </w:r>
      <w:r w:rsidRPr="002C6283">
        <w:rPr>
          <w:rFonts w:asciiTheme="majorHAnsi" w:hAnsiTheme="majorHAnsi"/>
          <w:sz w:val="28"/>
          <w:szCs w:val="28"/>
        </w:rPr>
        <w:t xml:space="preserve">, el </w:t>
      </w:r>
      <w:r w:rsidRPr="002C6283">
        <w:rPr>
          <w:rFonts w:asciiTheme="majorHAnsi" w:hAnsiTheme="majorHAnsi"/>
          <w:b/>
          <w:sz w:val="28"/>
          <w:szCs w:val="28"/>
        </w:rPr>
        <w:t>Banco Agrario</w:t>
      </w:r>
      <w:r w:rsidRPr="002C6283">
        <w:rPr>
          <w:rFonts w:asciiTheme="majorHAnsi" w:hAnsiTheme="majorHAnsi"/>
          <w:sz w:val="28"/>
          <w:szCs w:val="28"/>
        </w:rPr>
        <w:t xml:space="preserve"> y la </w:t>
      </w:r>
      <w:r w:rsidRPr="002C6283">
        <w:rPr>
          <w:rFonts w:asciiTheme="majorHAnsi" w:hAnsiTheme="majorHAnsi"/>
          <w:b/>
          <w:sz w:val="28"/>
          <w:szCs w:val="28"/>
        </w:rPr>
        <w:t>Sociedad Colombiana de Arquitectos</w:t>
      </w:r>
      <w:r w:rsidRPr="002C6283">
        <w:rPr>
          <w:rFonts w:asciiTheme="majorHAnsi" w:hAnsiTheme="majorHAnsi"/>
          <w:sz w:val="28"/>
          <w:szCs w:val="28"/>
        </w:rPr>
        <w:t xml:space="preserve">, permitieron ejecutar la reconstrucción como </w:t>
      </w:r>
      <w:r w:rsidRPr="002C6283">
        <w:rPr>
          <w:rFonts w:asciiTheme="majorHAnsi" w:hAnsiTheme="majorHAnsi"/>
          <w:b/>
          <w:sz w:val="28"/>
          <w:szCs w:val="28"/>
        </w:rPr>
        <w:t>Gerencia Integral</w:t>
      </w:r>
      <w:r w:rsidRPr="002C6283">
        <w:rPr>
          <w:rFonts w:asciiTheme="majorHAnsi" w:hAnsiTheme="majorHAnsi"/>
          <w:sz w:val="28"/>
          <w:szCs w:val="28"/>
        </w:rPr>
        <w:t xml:space="preserve"> del proyecto, en los terrenos donde estaban ubicadas las viviendas de las familias inscritas en el </w:t>
      </w:r>
      <w:r w:rsidRPr="002C6283">
        <w:rPr>
          <w:rFonts w:asciiTheme="majorHAnsi" w:hAnsiTheme="majorHAnsi"/>
          <w:sz w:val="28"/>
          <w:szCs w:val="28"/>
        </w:rPr>
        <w:lastRenderedPageBreak/>
        <w:t>Registro Único de Damnificados de Dane, que resultaron averiadas por el Fenómeno de la Niña 2010-2011.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En marzo de este año fueron adicionados recursos por valor de $21.561.911.928  por parte del </w:t>
      </w:r>
      <w:r w:rsidRPr="002C6283">
        <w:rPr>
          <w:rFonts w:asciiTheme="majorHAnsi" w:hAnsiTheme="majorHAnsi"/>
          <w:b/>
          <w:sz w:val="28"/>
          <w:szCs w:val="28"/>
        </w:rPr>
        <w:t>Fondo Adaptación</w:t>
      </w:r>
      <w:r w:rsidRPr="002C6283">
        <w:rPr>
          <w:rFonts w:asciiTheme="majorHAnsi" w:hAnsiTheme="majorHAnsi"/>
          <w:sz w:val="28"/>
          <w:szCs w:val="28"/>
        </w:rPr>
        <w:t>, con el fin de mejorar el tipo y calidad de la vivienda, permitiéndole  adaptarse al cambio climático sin alterar las condiciones de vida de la población.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“Con estos recursos del </w:t>
      </w:r>
      <w:r w:rsidRPr="002C6283">
        <w:rPr>
          <w:rFonts w:asciiTheme="majorHAnsi" w:hAnsiTheme="majorHAnsi"/>
          <w:b/>
          <w:sz w:val="28"/>
          <w:szCs w:val="28"/>
        </w:rPr>
        <w:t>Fondo Adaptación</w:t>
      </w:r>
      <w:r w:rsidRPr="002C6283">
        <w:rPr>
          <w:rFonts w:asciiTheme="majorHAnsi" w:hAnsiTheme="majorHAnsi"/>
          <w:sz w:val="28"/>
          <w:szCs w:val="28"/>
        </w:rPr>
        <w:t xml:space="preserve"> se pudieron incluir los pilotes que mitigarán el impacto de posibles nuevas inundaciones, lo cual es un importante valor agregado que diferencia estas viviendas de las demás, lo que junto a la alta calidad de los materiales integrados a la obra garantizará viviendas dignas, estables y perdurables, en línea con las políticas del Ministerio de Agricultura y Desarrollo Rural”, indicó el presidente del </w:t>
      </w:r>
      <w:r w:rsidRPr="002C6283">
        <w:rPr>
          <w:rFonts w:asciiTheme="majorHAnsi" w:hAnsiTheme="majorHAnsi"/>
          <w:b/>
          <w:sz w:val="28"/>
          <w:szCs w:val="28"/>
        </w:rPr>
        <w:t>Banco Agrario de Colombia</w:t>
      </w:r>
      <w:r w:rsidRPr="002C6283">
        <w:rPr>
          <w:rFonts w:asciiTheme="majorHAnsi" w:hAnsiTheme="majorHAnsi"/>
          <w:sz w:val="28"/>
          <w:szCs w:val="28"/>
        </w:rPr>
        <w:t>, Francisco Estupiñán Heredia.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La Sociedad Colombiana de Arquitectos y la Gerencia Integral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El arquitecto Diego Sierra Franco, presidente de la </w:t>
      </w:r>
      <w:r w:rsidRPr="002C6283">
        <w:rPr>
          <w:rFonts w:asciiTheme="majorHAnsi" w:hAnsiTheme="majorHAnsi"/>
          <w:b/>
          <w:sz w:val="28"/>
          <w:szCs w:val="28"/>
        </w:rPr>
        <w:t>SCA,</w:t>
      </w:r>
      <w:r w:rsidRPr="002C6283">
        <w:rPr>
          <w:rFonts w:asciiTheme="majorHAnsi" w:hAnsiTheme="majorHAnsi"/>
          <w:sz w:val="28"/>
          <w:szCs w:val="28"/>
        </w:rPr>
        <w:t xml:space="preserve"> explicó que desde hace más un año ese gremio trabaja en la consolidación de la figura de </w:t>
      </w:r>
      <w:r w:rsidRPr="002C6283">
        <w:rPr>
          <w:rFonts w:asciiTheme="majorHAnsi" w:hAnsiTheme="majorHAnsi"/>
          <w:b/>
          <w:sz w:val="28"/>
          <w:szCs w:val="28"/>
        </w:rPr>
        <w:t>Gerencia Integral</w:t>
      </w:r>
      <w:r w:rsidRPr="002C6283">
        <w:rPr>
          <w:rFonts w:asciiTheme="majorHAnsi" w:hAnsiTheme="majorHAnsi"/>
          <w:sz w:val="28"/>
          <w:szCs w:val="28"/>
        </w:rPr>
        <w:t>, que va mucho más allá del asistencialismo y busca soluciones reales para los habitantes de las zonas rurales de Colombia.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“Es  por esto que no consideramos pertinente la inclusión de modelos importados con el único criterio del costo. La industria colombiana y las empresas productoras nacionales están en vía de soportar la creciente demanda que equilibre el déficit de buena vivienda popular, soportado en un diseño adecuado y adaptable a las condiciones propias de cada región”, asegura el arquitecto Sierra Franco.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Bolívar, segundo departamento más afectado por el Fenómeno de La Niña, con 16.206 viviendas destruidas, es el primer departamento de Colombia en iniciar estas obras que arrancaron el pasado 1 de abril en  Mompox, Magangué y Arjona, y que continuarán a partir del lunes 16 de abril en Santa Catalina, Mahates, San Juan Nepomuceno, Calamar, Margarita, San Fernando, Mompox, Talaigua Nuevo, Córdoba, Cicuco, Magangué y Pinillos y cuya finalización está proyectada para febrero de 2013.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Esta metodología de Gerencia Integral, en la cual la </w:t>
      </w:r>
      <w:r w:rsidRPr="002C6283">
        <w:rPr>
          <w:rFonts w:asciiTheme="majorHAnsi" w:hAnsiTheme="majorHAnsi"/>
          <w:b/>
          <w:sz w:val="28"/>
          <w:szCs w:val="28"/>
        </w:rPr>
        <w:t>SCA</w:t>
      </w:r>
      <w:r w:rsidRPr="002C6283">
        <w:rPr>
          <w:rFonts w:asciiTheme="majorHAnsi" w:hAnsiTheme="majorHAnsi"/>
          <w:sz w:val="28"/>
          <w:szCs w:val="28"/>
        </w:rPr>
        <w:t xml:space="preserve"> es pionera a nivel nacional, ofrecerá empleo gracias a un Convenio con el SENA que permitirá que 1.200 habitantes de las comunidades en las que se desarrollará el proyecto puedan capacitarse en construcción y otras especialidades, con el objetivo de emplearlos en la construcción de las nuevas viviendas.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El modelo de vivienda de interés social rural VISR a implementar, tiene una área de 36 m2 y consta de una zona exterior a manera de porche de 3.65 m2, zona social que incluye el área de cocina de 10.85 m2, dos habitaciones cada una de 8.75 m2 y un baño de 2.17 m2.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6D2525" w:rsidRPr="006D2525" w:rsidRDefault="006D2525" w:rsidP="006D2525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</w:t>
      </w:r>
      <w:r w:rsidRPr="006D2525">
        <w:rPr>
          <w:rFonts w:asciiTheme="majorHAnsi" w:hAnsiTheme="majorHAnsi"/>
          <w:b/>
          <w:sz w:val="28"/>
          <w:szCs w:val="28"/>
        </w:rPr>
        <w:t>Acerca del Fondo Adaptación</w:t>
      </w:r>
    </w:p>
    <w:p w:rsidR="006D2525" w:rsidRPr="006D2525" w:rsidRDefault="006D2525" w:rsidP="006D2525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6D2525" w:rsidRDefault="006D2525" w:rsidP="006D2525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6D2525">
        <w:rPr>
          <w:rFonts w:asciiTheme="majorHAnsi" w:hAnsiTheme="majorHAnsi"/>
          <w:sz w:val="28"/>
          <w:szCs w:val="28"/>
        </w:rPr>
        <w:t xml:space="preserve">     El Gobierno Nacional creó el </w:t>
      </w:r>
      <w:r w:rsidRPr="006D2525">
        <w:rPr>
          <w:rFonts w:asciiTheme="majorHAnsi" w:hAnsiTheme="majorHAnsi"/>
          <w:b/>
          <w:sz w:val="28"/>
          <w:szCs w:val="28"/>
        </w:rPr>
        <w:t>Fondo Adaptación</w:t>
      </w:r>
      <w:r w:rsidRPr="006D2525">
        <w:rPr>
          <w:rFonts w:asciiTheme="majorHAnsi" w:hAnsiTheme="majorHAnsi"/>
          <w:sz w:val="28"/>
          <w:szCs w:val="28"/>
        </w:rPr>
        <w:t>, entidad adscrita al Ministerio de Hacienda, como el mecanismo institucional para identificar y priorizar necesidades en la etapa de recuperación, construcción y reconstrucción del Fenómeno de la Niña 2010-2011, con el propósito de mitigar y prevenir riesgos, y proteger a la población de las amenazas económicas, sociales y ambientales.</w:t>
      </w:r>
    </w:p>
    <w:p w:rsidR="006D2525" w:rsidRDefault="006D2525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6D2525" w:rsidRDefault="006D2525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6D2525" w:rsidRPr="002C6283" w:rsidRDefault="006D2525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Datos de Contacto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Yurany Morales Mora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Directora de Comunicaciones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 xml:space="preserve">Sociedad Colombiana de Arquitectos 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b/>
          <w:sz w:val="28"/>
          <w:szCs w:val="28"/>
        </w:rPr>
      </w:pPr>
      <w:r w:rsidRPr="002C6283">
        <w:rPr>
          <w:rFonts w:asciiTheme="majorHAnsi" w:hAnsiTheme="majorHAnsi"/>
          <w:b/>
          <w:sz w:val="28"/>
          <w:szCs w:val="28"/>
        </w:rPr>
        <w:t>Nohora Solórzano Moreno</w:t>
      </w:r>
    </w:p>
    <w:p w:rsidR="002C6283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Asesora Unidad de Comunicaciones Banco Agrario</w:t>
      </w:r>
    </w:p>
    <w:p w:rsidR="001C1296" w:rsidRPr="002C6283" w:rsidRDefault="002C6283" w:rsidP="002C6283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2C6283">
        <w:rPr>
          <w:rFonts w:asciiTheme="majorHAnsi" w:hAnsiTheme="majorHAnsi"/>
          <w:sz w:val="28"/>
          <w:szCs w:val="28"/>
        </w:rPr>
        <w:t>5945889 nohora.solorzano@bancoagrario.gov.co</w:t>
      </w:r>
    </w:p>
    <w:sectPr w:rsidR="001C1296" w:rsidRPr="002C628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283"/>
    <w:rsid w:val="0015189A"/>
    <w:rsid w:val="001C1296"/>
    <w:rsid w:val="002C6283"/>
    <w:rsid w:val="006D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C62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C62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801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2013-08-01T15:28:00Z</dcterms:created>
  <dcterms:modified xsi:type="dcterms:W3CDTF">2013-08-01T15:28:00Z</dcterms:modified>
</cp:coreProperties>
</file>