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B90" w:rsidRPr="00CC1B90" w:rsidRDefault="00CC1B90" w:rsidP="003B2897">
      <w:pPr>
        <w:pStyle w:val="Sinespaciado"/>
        <w:jc w:val="both"/>
        <w:rPr>
          <w:rFonts w:asciiTheme="majorHAnsi" w:hAnsiTheme="majorHAnsi"/>
          <w:sz w:val="28"/>
          <w:szCs w:val="28"/>
        </w:rPr>
      </w:pPr>
      <w:bookmarkStart w:id="0" w:name="_GoBack"/>
      <w:bookmarkEnd w:id="0"/>
    </w:p>
    <w:p w:rsidR="00CC1B90" w:rsidRPr="00CC1B90" w:rsidRDefault="00CC1B90" w:rsidP="003B2897">
      <w:pPr>
        <w:pStyle w:val="Sinespaciado"/>
        <w:jc w:val="both"/>
        <w:rPr>
          <w:rFonts w:asciiTheme="majorHAnsi" w:hAnsiTheme="majorHAnsi"/>
          <w:sz w:val="28"/>
          <w:szCs w:val="28"/>
        </w:rPr>
      </w:pPr>
      <w:r w:rsidRPr="00CC1B90">
        <w:rPr>
          <w:rFonts w:asciiTheme="majorHAnsi" w:hAnsiTheme="majorHAnsi"/>
          <w:sz w:val="28"/>
          <w:szCs w:val="28"/>
        </w:rPr>
        <w:t>NOTICIAS DEL CONSEJO DIRECTIVO</w:t>
      </w:r>
    </w:p>
    <w:p w:rsidR="009F44FD" w:rsidRDefault="009F44FD" w:rsidP="003B2897">
      <w:pPr>
        <w:pStyle w:val="Sinespaciado"/>
        <w:jc w:val="both"/>
        <w:rPr>
          <w:rFonts w:asciiTheme="majorHAnsi" w:hAnsiTheme="majorHAnsi"/>
          <w:sz w:val="28"/>
          <w:szCs w:val="28"/>
        </w:rPr>
      </w:pPr>
    </w:p>
    <w:p w:rsidR="003B2897" w:rsidRDefault="009927D6" w:rsidP="003B2897">
      <w:pPr>
        <w:pStyle w:val="Sinespaciado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</w:t>
      </w:r>
      <w:r w:rsidR="009F44FD">
        <w:rPr>
          <w:rFonts w:asciiTheme="majorHAnsi" w:hAnsiTheme="majorHAnsi"/>
          <w:sz w:val="28"/>
          <w:szCs w:val="28"/>
        </w:rPr>
        <w:t>Bogotá, 29 de junio de 2012.-El Consejo Directivo del Fondo Adaptación, reunido en la Pres</w:t>
      </w:r>
      <w:r w:rsidR="003B2897">
        <w:rPr>
          <w:rFonts w:asciiTheme="majorHAnsi" w:hAnsiTheme="majorHAnsi"/>
          <w:sz w:val="28"/>
          <w:szCs w:val="28"/>
        </w:rPr>
        <w:t>idencia de la República, adoptó diversas e importantes decisiones en temas relacionados con infraestructura vial</w:t>
      </w:r>
      <w:r>
        <w:rPr>
          <w:rFonts w:asciiTheme="majorHAnsi" w:hAnsiTheme="majorHAnsi"/>
          <w:sz w:val="28"/>
          <w:szCs w:val="28"/>
        </w:rPr>
        <w:t xml:space="preserve"> y educativa, entre otras.-</w:t>
      </w:r>
    </w:p>
    <w:p w:rsidR="003341B3" w:rsidRDefault="009927D6" w:rsidP="003B2897">
      <w:pPr>
        <w:pStyle w:val="Sinespaciado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</w:t>
      </w:r>
      <w:r w:rsidR="003A288F">
        <w:rPr>
          <w:rFonts w:asciiTheme="majorHAnsi" w:hAnsiTheme="majorHAnsi"/>
          <w:sz w:val="28"/>
          <w:szCs w:val="28"/>
        </w:rPr>
        <w:t>Inicialmente</w:t>
      </w:r>
      <w:r w:rsidR="003341B3">
        <w:rPr>
          <w:rFonts w:asciiTheme="majorHAnsi" w:hAnsiTheme="majorHAnsi"/>
          <w:sz w:val="28"/>
          <w:szCs w:val="28"/>
        </w:rPr>
        <w:t>, se aprobó la entrega de recursos para el cierre financiero  de la construcción de una institución educativa en la población de Santa Lucía, Atlántico por 2 mil 698 millones de pesos, obra que viene siendo adelantada y liderada por la Fundación Argos, con aportes del ministerio de Educación y la Fundación Telefónica.</w:t>
      </w:r>
    </w:p>
    <w:p w:rsidR="003341B3" w:rsidRDefault="003341B3" w:rsidP="003B2897">
      <w:pPr>
        <w:pStyle w:val="Sinespaciado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Además, se aprobaron recursos por 1762 millones de pesos para el cierre financiero de la construcción de la institución educativa </w:t>
      </w:r>
      <w:proofErr w:type="spellStart"/>
      <w:r>
        <w:rPr>
          <w:rFonts w:asciiTheme="majorHAnsi" w:hAnsiTheme="majorHAnsi"/>
          <w:sz w:val="28"/>
          <w:szCs w:val="28"/>
        </w:rPr>
        <w:t>Cazucá</w:t>
      </w:r>
      <w:proofErr w:type="spellEnd"/>
      <w:r>
        <w:rPr>
          <w:rFonts w:asciiTheme="majorHAnsi" w:hAnsiTheme="majorHAnsi"/>
          <w:sz w:val="28"/>
          <w:szCs w:val="28"/>
        </w:rPr>
        <w:t xml:space="preserve">, en Soacha Cundinamarca, obra que también es </w:t>
      </w:r>
      <w:r w:rsidR="003A288F">
        <w:rPr>
          <w:rFonts w:asciiTheme="majorHAnsi" w:hAnsiTheme="majorHAnsi"/>
          <w:sz w:val="28"/>
          <w:szCs w:val="28"/>
        </w:rPr>
        <w:t>liderada por la Fundación Argos, y con importantes aportes de la Fundación Telefónica.</w:t>
      </w:r>
    </w:p>
    <w:p w:rsidR="003341B3" w:rsidRDefault="003341B3" w:rsidP="003B2897">
      <w:pPr>
        <w:pStyle w:val="Sinespaciado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En cuanto a infraestructura vial</w:t>
      </w:r>
      <w:r w:rsidR="004C3001">
        <w:rPr>
          <w:rFonts w:asciiTheme="majorHAnsi" w:hAnsiTheme="majorHAnsi"/>
          <w:sz w:val="28"/>
          <w:szCs w:val="28"/>
        </w:rPr>
        <w:t>, se aprobó la destinación de recursos para el estudios y diseños de intervención en sitios críticos y puentes de la carretera Los Curos-Málaga, departamento de Santander, por un valor de 2 mil 823 millones de pesos.</w:t>
      </w:r>
    </w:p>
    <w:p w:rsidR="003A288F" w:rsidRDefault="003A288F" w:rsidP="003B2897">
      <w:pPr>
        <w:pStyle w:val="Sinespaciado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Es bueno resaltar que en la intervención de puntos críticos de esta vía están incluidos varios puentes, entre otras obras.</w:t>
      </w:r>
    </w:p>
    <w:p w:rsidR="003A288F" w:rsidRDefault="003A288F" w:rsidP="003B2897">
      <w:pPr>
        <w:pStyle w:val="Sinespaciado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También, en desarrollo del Consejo Directivo, se informó que el Fondo Adaptación contratará 5 gerencias para </w:t>
      </w:r>
      <w:r w:rsidR="001B0D34">
        <w:rPr>
          <w:rFonts w:asciiTheme="majorHAnsi" w:hAnsiTheme="majorHAnsi"/>
          <w:sz w:val="28"/>
          <w:szCs w:val="28"/>
        </w:rPr>
        <w:t>ejecutar la estrategia de reconstrucci</w:t>
      </w:r>
      <w:r w:rsidR="007B193A">
        <w:rPr>
          <w:rFonts w:asciiTheme="majorHAnsi" w:hAnsiTheme="majorHAnsi"/>
          <w:sz w:val="28"/>
          <w:szCs w:val="28"/>
        </w:rPr>
        <w:t>ón</w:t>
      </w:r>
      <w:r w:rsidR="001B0D34">
        <w:rPr>
          <w:rFonts w:asciiTheme="majorHAnsi" w:hAnsiTheme="majorHAnsi"/>
          <w:sz w:val="28"/>
          <w:szCs w:val="28"/>
        </w:rPr>
        <w:t xml:space="preserve"> del sector educativo denominada</w:t>
      </w:r>
      <w:r>
        <w:rPr>
          <w:rFonts w:asciiTheme="majorHAnsi" w:hAnsiTheme="majorHAnsi"/>
          <w:sz w:val="28"/>
          <w:szCs w:val="28"/>
        </w:rPr>
        <w:t xml:space="preserve"> </w:t>
      </w:r>
      <w:r w:rsidRPr="007B193A">
        <w:rPr>
          <w:rFonts w:asciiTheme="majorHAnsi" w:hAnsiTheme="majorHAnsi"/>
          <w:b/>
          <w:sz w:val="28"/>
          <w:szCs w:val="28"/>
        </w:rPr>
        <w:t>DICE</w:t>
      </w:r>
      <w:r w:rsidR="007B193A">
        <w:rPr>
          <w:rFonts w:asciiTheme="majorHAnsi" w:hAnsiTheme="majorHAnsi"/>
          <w:sz w:val="28"/>
          <w:szCs w:val="28"/>
        </w:rPr>
        <w:t>,</w:t>
      </w:r>
      <w:r>
        <w:rPr>
          <w:rFonts w:asciiTheme="majorHAnsi" w:hAnsiTheme="majorHAnsi"/>
          <w:sz w:val="28"/>
          <w:szCs w:val="28"/>
        </w:rPr>
        <w:t xml:space="preserve"> en todo el país, para lo cual se realizará una convocatoria abierta.</w:t>
      </w:r>
    </w:p>
    <w:p w:rsidR="001B0D34" w:rsidRPr="00CC1B90" w:rsidRDefault="007B193A" w:rsidP="003B2897">
      <w:pPr>
        <w:pStyle w:val="Sinespaciado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La estrategia </w:t>
      </w:r>
      <w:r w:rsidRPr="007B193A">
        <w:rPr>
          <w:rFonts w:asciiTheme="majorHAnsi" w:hAnsiTheme="majorHAnsi"/>
          <w:b/>
          <w:sz w:val="28"/>
          <w:szCs w:val="28"/>
        </w:rPr>
        <w:t>DICE</w:t>
      </w:r>
      <w:r>
        <w:rPr>
          <w:rFonts w:asciiTheme="majorHAnsi" w:hAnsiTheme="majorHAnsi"/>
          <w:sz w:val="28"/>
          <w:szCs w:val="28"/>
        </w:rPr>
        <w:t xml:space="preserve">  (Deporte, Infancia, Cultura, Educación) tiene como eje la institución educativa que vincula los sectores de primera infancia, cultura y deportes, complementando la oferta de servicios y proponiendo una infraestructura abierta a la comunidad.</w:t>
      </w:r>
    </w:p>
    <w:sectPr w:rsidR="001B0D34" w:rsidRPr="00CC1B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6210F"/>
    <w:multiLevelType w:val="hybridMultilevel"/>
    <w:tmpl w:val="DEA63A6E"/>
    <w:lvl w:ilvl="0" w:tplc="152E09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8E7E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F871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8643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4EEC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AE1E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644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E8C4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CCBD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3871083"/>
    <w:multiLevelType w:val="hybridMultilevel"/>
    <w:tmpl w:val="3042AC2E"/>
    <w:lvl w:ilvl="0" w:tplc="058C2A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683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0C45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9EF1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50FF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DA27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2025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2454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5C09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7F"/>
    <w:rsid w:val="00055A65"/>
    <w:rsid w:val="000B6A1E"/>
    <w:rsid w:val="000F547F"/>
    <w:rsid w:val="00175EE7"/>
    <w:rsid w:val="001B0D34"/>
    <w:rsid w:val="001F7CC6"/>
    <w:rsid w:val="003341B3"/>
    <w:rsid w:val="003A288F"/>
    <w:rsid w:val="003B2897"/>
    <w:rsid w:val="004C3001"/>
    <w:rsid w:val="007B193A"/>
    <w:rsid w:val="009927D6"/>
    <w:rsid w:val="009E63B2"/>
    <w:rsid w:val="009F44FD"/>
    <w:rsid w:val="00C3711A"/>
    <w:rsid w:val="00CC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C1B90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3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41B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C3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C1B90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341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41B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C3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4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004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4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6193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9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RUIZ</dc:creator>
  <cp:lastModifiedBy>juanruiz</cp:lastModifiedBy>
  <cp:revision>2</cp:revision>
  <dcterms:created xsi:type="dcterms:W3CDTF">2013-08-01T15:21:00Z</dcterms:created>
  <dcterms:modified xsi:type="dcterms:W3CDTF">2013-08-01T15:21:00Z</dcterms:modified>
</cp:coreProperties>
</file>